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B8B" w:rsidRDefault="00833B8B" w:rsidP="00833B8B">
      <w:pPr>
        <w:tabs>
          <w:tab w:val="left" w:pos="567"/>
          <w:tab w:val="left" w:pos="709"/>
        </w:tabs>
        <w:jc w:val="center"/>
        <w:rPr>
          <w:rFonts w:cs="Arial"/>
          <w:b/>
          <w:i/>
          <w:sz w:val="56"/>
          <w:szCs w:val="60"/>
        </w:rPr>
      </w:pPr>
      <w:r w:rsidRPr="00C44D26">
        <w:rPr>
          <w:rFonts w:cs="Arial"/>
          <w:b/>
          <w:i/>
          <w:sz w:val="56"/>
          <w:szCs w:val="60"/>
        </w:rPr>
        <w:t>P</w:t>
      </w:r>
      <w:r>
        <w:rPr>
          <w:rFonts w:cs="Arial"/>
          <w:b/>
          <w:i/>
          <w:sz w:val="56"/>
          <w:szCs w:val="60"/>
        </w:rPr>
        <w:t xml:space="preserve">ROCEDIMIENTO </w:t>
      </w:r>
      <w:r>
        <w:rPr>
          <w:rFonts w:cs="Arial"/>
          <w:b/>
          <w:i/>
          <w:sz w:val="56"/>
          <w:szCs w:val="60"/>
        </w:rPr>
        <w:t>DE SOPORTE TECNICO DE HARDWARE Y SOFTWARE</w:t>
      </w: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i/>
        </w:rPr>
      </w:pPr>
      <w:r>
        <w:rPr>
          <w:noProof/>
        </w:rPr>
        <w:drawing>
          <wp:inline distT="0" distB="0" distL="0" distR="0" wp14:anchorId="5120DCE2" wp14:editId="74C6B745">
            <wp:extent cx="2895600" cy="2038350"/>
            <wp:effectExtent l="0" t="0" r="0" b="0"/>
            <wp:docPr id="18" name="Imagen 18" descr="C:\Users\julia\AppData\Local\Microsoft\Windows\INetCache\Content.Word\LOGO BIF VERTICA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LOGO BIF VERTICAL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b/>
          <w:sz w:val="36"/>
          <w:szCs w:val="36"/>
        </w:rPr>
      </w:pPr>
      <w:r w:rsidRPr="00AC6C1E">
        <w:rPr>
          <w:b/>
          <w:sz w:val="36"/>
          <w:szCs w:val="36"/>
        </w:rPr>
        <w:t>BANCO INMOBILIARIO DE FLORIDABLANCA – BIF</w:t>
      </w:r>
    </w:p>
    <w:p w:rsidR="00833B8B" w:rsidRDefault="00833B8B" w:rsidP="00833B8B">
      <w:pPr>
        <w:tabs>
          <w:tab w:val="left" w:pos="567"/>
          <w:tab w:val="left" w:pos="709"/>
        </w:tabs>
        <w:jc w:val="center"/>
        <w:rPr>
          <w:sz w:val="36"/>
          <w:szCs w:val="36"/>
        </w:rPr>
      </w:pP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sz w:val="36"/>
          <w:szCs w:val="36"/>
        </w:rPr>
      </w:pPr>
      <w:r w:rsidRPr="00AC6C1E">
        <w:rPr>
          <w:sz w:val="36"/>
          <w:szCs w:val="36"/>
        </w:rPr>
        <w:t>Administración Municipal de Floridablanca (Santander)</w:t>
      </w: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sz w:val="36"/>
          <w:szCs w:val="36"/>
        </w:rPr>
      </w:pP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sz w:val="36"/>
          <w:szCs w:val="36"/>
        </w:rPr>
      </w:pP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sz w:val="36"/>
          <w:szCs w:val="36"/>
        </w:rPr>
      </w:pP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AC6C1E">
        <w:rPr>
          <w:sz w:val="28"/>
          <w:szCs w:val="28"/>
        </w:rPr>
        <w:t>LAURA CAROLINA MANRIQUE BECERRA</w:t>
      </w: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AC6C1E">
        <w:rPr>
          <w:sz w:val="28"/>
          <w:szCs w:val="28"/>
        </w:rPr>
        <w:t>Directora General</w:t>
      </w: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</w:p>
    <w:p w:rsidR="00833B8B" w:rsidRPr="00AC6C1E" w:rsidRDefault="00833B8B" w:rsidP="00833B8B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Año 2017</w:t>
      </w:r>
    </w:p>
    <w:p w:rsidR="00833B8B" w:rsidRPr="00AC6C1E" w:rsidRDefault="00833B8B" w:rsidP="00833B8B">
      <w:pPr>
        <w:tabs>
          <w:tab w:val="left" w:pos="567"/>
          <w:tab w:val="left" w:pos="709"/>
        </w:tabs>
        <w:rPr>
          <w:i/>
        </w:rPr>
      </w:pPr>
      <w:r w:rsidRPr="00AC6C1E">
        <w:rPr>
          <w:noProof/>
        </w:rPr>
        <w:drawing>
          <wp:anchor distT="0" distB="0" distL="114300" distR="114300" simplePos="0" relativeHeight="251659264" behindDoc="1" locked="0" layoutInCell="1" allowOverlap="1" wp14:anchorId="0671C4DC" wp14:editId="5599E9E3">
            <wp:simplePos x="0" y="0"/>
            <wp:positionH relativeFrom="column">
              <wp:posOffset>4251960</wp:posOffset>
            </wp:positionH>
            <wp:positionV relativeFrom="paragraph">
              <wp:posOffset>107315</wp:posOffset>
            </wp:positionV>
            <wp:extent cx="1989455" cy="825500"/>
            <wp:effectExtent l="0" t="0" r="0" b="0"/>
            <wp:wrapTight wrapText="bothSides">
              <wp:wrapPolygon edited="0">
                <wp:start x="0" y="0"/>
                <wp:lineTo x="0" y="20935"/>
                <wp:lineTo x="21304" y="20935"/>
                <wp:lineTo x="21304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3" t="69865" r="47568" b="1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C1E"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0CAE8BA0" wp14:editId="1F2F2AA8">
            <wp:simplePos x="0" y="0"/>
            <wp:positionH relativeFrom="column">
              <wp:posOffset>161925</wp:posOffset>
            </wp:positionH>
            <wp:positionV relativeFrom="paragraph">
              <wp:posOffset>59690</wp:posOffset>
            </wp:positionV>
            <wp:extent cx="986790" cy="986790"/>
            <wp:effectExtent l="0" t="0" r="3810" b="381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B8B" w:rsidRPr="00AC6C1E" w:rsidRDefault="00833B8B" w:rsidP="00833B8B">
      <w:pPr>
        <w:tabs>
          <w:tab w:val="left" w:pos="567"/>
          <w:tab w:val="left" w:pos="709"/>
        </w:tabs>
        <w:rPr>
          <w:i/>
        </w:rPr>
      </w:pPr>
    </w:p>
    <w:p w:rsidR="00833B8B" w:rsidRPr="00AC6C1E" w:rsidRDefault="00833B8B" w:rsidP="00833B8B">
      <w:pPr>
        <w:tabs>
          <w:tab w:val="left" w:pos="567"/>
          <w:tab w:val="left" w:pos="709"/>
        </w:tabs>
        <w:rPr>
          <w:i/>
        </w:rPr>
      </w:pPr>
    </w:p>
    <w:p w:rsidR="00190133" w:rsidRDefault="00190133"/>
    <w:p w:rsidR="00B65F58" w:rsidRPr="00EC083C" w:rsidRDefault="00285570">
      <w:pPr>
        <w:rPr>
          <w:b/>
        </w:rPr>
      </w:pPr>
      <w:r w:rsidRPr="00EC083C">
        <w:rPr>
          <w:b/>
        </w:rPr>
        <w:lastRenderedPageBreak/>
        <w:t>OBJETIVO</w:t>
      </w:r>
    </w:p>
    <w:p w:rsidR="00285570" w:rsidRDefault="00285570" w:rsidP="00285570">
      <w:pPr>
        <w:jc w:val="both"/>
      </w:pPr>
      <w:r>
        <w:t>R</w:t>
      </w:r>
      <w:r>
        <w:t>ealizar y garantizar el soporte y mantenimiento a los equipos de cómputo, impresoras, software y aplicativos del</w:t>
      </w:r>
      <w:r w:rsidRPr="00285570">
        <w:t xml:space="preserve"> </w:t>
      </w:r>
      <w:r>
        <w:t>Banco Inmobiliario de Floridablanca.</w:t>
      </w:r>
    </w:p>
    <w:p w:rsidR="00285570" w:rsidRPr="00EC083C" w:rsidRDefault="00285570">
      <w:pPr>
        <w:rPr>
          <w:b/>
        </w:rPr>
      </w:pPr>
      <w:r w:rsidRPr="00EC083C">
        <w:rPr>
          <w:b/>
        </w:rPr>
        <w:t>ALCANCE</w:t>
      </w:r>
    </w:p>
    <w:p w:rsidR="00285570" w:rsidRDefault="00285570" w:rsidP="00285570">
      <w:pPr>
        <w:jc w:val="both"/>
      </w:pPr>
      <w:r>
        <w:t xml:space="preserve">Aplica para todas las dependencias del </w:t>
      </w:r>
      <w:r>
        <w:t>Banco Inmobiliario de Floridablanca.</w:t>
      </w:r>
    </w:p>
    <w:p w:rsidR="00285570" w:rsidRPr="00EC083C" w:rsidRDefault="00285570" w:rsidP="00285570">
      <w:pPr>
        <w:jc w:val="both"/>
        <w:rPr>
          <w:b/>
        </w:rPr>
      </w:pPr>
      <w:r w:rsidRPr="00EC083C">
        <w:rPr>
          <w:b/>
        </w:rPr>
        <w:t>CONTENIDO O DESARROLLO DEL PROCEDIMIENTO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029"/>
      </w:tblGrid>
      <w:tr w:rsidR="00285570" w:rsidTr="00EC083C">
        <w:tc>
          <w:tcPr>
            <w:tcW w:w="2263" w:type="dxa"/>
          </w:tcPr>
          <w:p w:rsidR="00285570" w:rsidRDefault="00285570" w:rsidP="00285570">
            <w:pPr>
              <w:jc w:val="center"/>
            </w:pPr>
            <w:r>
              <w:t>Actividad</w:t>
            </w:r>
          </w:p>
        </w:tc>
        <w:tc>
          <w:tcPr>
            <w:tcW w:w="4536" w:type="dxa"/>
          </w:tcPr>
          <w:p w:rsidR="00285570" w:rsidRDefault="00285570" w:rsidP="00285570">
            <w:pPr>
              <w:jc w:val="center"/>
            </w:pPr>
            <w:r>
              <w:t>Descripción</w:t>
            </w:r>
          </w:p>
        </w:tc>
        <w:tc>
          <w:tcPr>
            <w:tcW w:w="2029" w:type="dxa"/>
          </w:tcPr>
          <w:p w:rsidR="00285570" w:rsidRDefault="00285570" w:rsidP="00285570">
            <w:pPr>
              <w:jc w:val="center"/>
            </w:pPr>
            <w:r>
              <w:t>Responsable</w:t>
            </w:r>
          </w:p>
        </w:tc>
      </w:tr>
      <w:tr w:rsidR="00285570" w:rsidTr="00EC083C">
        <w:tc>
          <w:tcPr>
            <w:tcW w:w="2263" w:type="dxa"/>
          </w:tcPr>
          <w:p w:rsidR="00285570" w:rsidRDefault="00285570" w:rsidP="00285570">
            <w:pPr>
              <w:jc w:val="both"/>
            </w:pPr>
            <w:r>
              <w:t>Recibir de los requerimientos, problemas o incidencias tecnológicos</w:t>
            </w:r>
          </w:p>
        </w:tc>
        <w:tc>
          <w:tcPr>
            <w:tcW w:w="4536" w:type="dxa"/>
          </w:tcPr>
          <w:p w:rsidR="00285570" w:rsidRDefault="00285570" w:rsidP="00285570">
            <w:pPr>
              <w:jc w:val="both"/>
            </w:pPr>
            <w:proofErr w:type="spellStart"/>
            <w:r>
              <w:t>Recepcionar</w:t>
            </w:r>
            <w:proofErr w:type="spellEnd"/>
            <w:r>
              <w:t xml:space="preserve"> del Usuario, el requerimiento, problema o incidencia, mediante los siguientes canales:</w:t>
            </w:r>
          </w:p>
          <w:p w:rsidR="00285570" w:rsidRDefault="00285570" w:rsidP="00285570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Verbales</w:t>
            </w:r>
          </w:p>
          <w:p w:rsidR="00285570" w:rsidRDefault="00285570" w:rsidP="00285570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Electrónicos</w:t>
            </w:r>
          </w:p>
          <w:p w:rsidR="00285570" w:rsidRDefault="00285570" w:rsidP="00285570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Escritos</w:t>
            </w:r>
          </w:p>
        </w:tc>
        <w:tc>
          <w:tcPr>
            <w:tcW w:w="2029" w:type="dxa"/>
          </w:tcPr>
          <w:p w:rsidR="00285570" w:rsidRDefault="00285570" w:rsidP="00285570">
            <w:pPr>
              <w:jc w:val="both"/>
            </w:pPr>
            <w:r>
              <w:t>Departamento de sistemas/ contratista especializado</w:t>
            </w:r>
          </w:p>
        </w:tc>
      </w:tr>
      <w:tr w:rsidR="00285570" w:rsidTr="00EC083C">
        <w:tc>
          <w:tcPr>
            <w:tcW w:w="2263" w:type="dxa"/>
          </w:tcPr>
          <w:p w:rsidR="00285570" w:rsidRDefault="00285570" w:rsidP="00285570">
            <w:pPr>
              <w:jc w:val="both"/>
            </w:pPr>
            <w:r>
              <w:t>Registrar los requerimientos, problemas o incidencias tecnológicas.</w:t>
            </w:r>
          </w:p>
        </w:tc>
        <w:tc>
          <w:tcPr>
            <w:tcW w:w="4536" w:type="dxa"/>
          </w:tcPr>
          <w:p w:rsidR="00285570" w:rsidRDefault="00285570" w:rsidP="00285570">
            <w:pPr>
              <w:jc w:val="both"/>
            </w:pPr>
            <w:r>
              <w:t>Registrar la solicitud de requerimientos, problemas o incidentes por medio de una guía proporcionada en el área</w:t>
            </w:r>
            <w:r w:rsidRPr="00285570">
              <w:t xml:space="preserve"> </w:t>
            </w:r>
            <w:r w:rsidR="00D33BF2" w:rsidRPr="00285570">
              <w:t>administrativa y financiera</w:t>
            </w:r>
          </w:p>
        </w:tc>
        <w:tc>
          <w:tcPr>
            <w:tcW w:w="2029" w:type="dxa"/>
          </w:tcPr>
          <w:p w:rsidR="00285570" w:rsidRDefault="00D33BF2" w:rsidP="00285570">
            <w:pPr>
              <w:jc w:val="both"/>
            </w:pPr>
            <w:r w:rsidRPr="00D33BF2">
              <w:t>Técnico Operativo IV Gestión Almacén-Inventarios</w:t>
            </w:r>
          </w:p>
        </w:tc>
      </w:tr>
      <w:tr w:rsidR="00285570" w:rsidTr="00EC083C">
        <w:tc>
          <w:tcPr>
            <w:tcW w:w="2263" w:type="dxa"/>
          </w:tcPr>
          <w:p w:rsidR="00285570" w:rsidRDefault="00D33BF2" w:rsidP="00285570">
            <w:pPr>
              <w:jc w:val="both"/>
            </w:pPr>
            <w:r>
              <w:t>Analizar los requerimientos, problemas o incidentes</w:t>
            </w:r>
          </w:p>
        </w:tc>
        <w:tc>
          <w:tcPr>
            <w:tcW w:w="4536" w:type="dxa"/>
          </w:tcPr>
          <w:p w:rsidR="00EC083C" w:rsidRDefault="00EC083C" w:rsidP="00285570">
            <w:pPr>
              <w:jc w:val="both"/>
            </w:pPr>
            <w:r>
              <w:t xml:space="preserve">Los niveles de escalamiento son los siguientes: </w:t>
            </w:r>
          </w:p>
          <w:p w:rsidR="00EC083C" w:rsidRDefault="00EC083C" w:rsidP="00285570">
            <w:pPr>
              <w:jc w:val="both"/>
            </w:pPr>
            <w:r>
              <w:t xml:space="preserve">Nivel 1 – Primer nivel de contacto (Mesa de ayuda) Nivel 2 – Ingenieros de soporte en sitio </w:t>
            </w:r>
          </w:p>
          <w:p w:rsidR="00EC083C" w:rsidRDefault="00EC083C" w:rsidP="00285570">
            <w:pPr>
              <w:jc w:val="both"/>
            </w:pPr>
            <w:r>
              <w:t xml:space="preserve">Nivel 3 – Ingenieros especializados </w:t>
            </w:r>
          </w:p>
          <w:p w:rsidR="00285570" w:rsidRDefault="00EC083C" w:rsidP="00285570">
            <w:pPr>
              <w:jc w:val="both"/>
            </w:pPr>
            <w:r>
              <w:t>Nivel 4 – Comité de Gestión de Incidentes Tecnológicos.</w:t>
            </w:r>
          </w:p>
        </w:tc>
        <w:tc>
          <w:tcPr>
            <w:tcW w:w="2029" w:type="dxa"/>
          </w:tcPr>
          <w:p w:rsidR="00285570" w:rsidRDefault="00EC083C" w:rsidP="00285570">
            <w:pPr>
              <w:jc w:val="both"/>
            </w:pPr>
            <w:r>
              <w:t>Personal del Grupo de Soporte Tecnológico</w:t>
            </w:r>
          </w:p>
        </w:tc>
      </w:tr>
      <w:tr w:rsidR="00285570" w:rsidTr="00EC083C">
        <w:tc>
          <w:tcPr>
            <w:tcW w:w="2263" w:type="dxa"/>
          </w:tcPr>
          <w:p w:rsidR="00285570" w:rsidRDefault="00EC083C" w:rsidP="00285570">
            <w:pPr>
              <w:jc w:val="both"/>
            </w:pPr>
            <w:r>
              <w:t>Solucionar los requerimientos, problemas o incidentes</w:t>
            </w:r>
          </w:p>
        </w:tc>
        <w:tc>
          <w:tcPr>
            <w:tcW w:w="4536" w:type="dxa"/>
          </w:tcPr>
          <w:p w:rsidR="00285570" w:rsidRDefault="00EC083C" w:rsidP="00285570">
            <w:pPr>
              <w:jc w:val="both"/>
            </w:pPr>
            <w:r>
              <w:t>Si el requerimiento se escala al nivel 2, (Soporte en sitio), el técnico debe trasladarse a la dependencia o sitio y verificar el daño reportado, efectuar el arreglo en hardware y/o software, realizar las pruebas requeridas para el correcto</w:t>
            </w:r>
            <w:r>
              <w:t xml:space="preserve"> </w:t>
            </w:r>
            <w:r>
              <w:t>funcionamiento con la verificación por parte del usuario en el equipo de cómputo respectivo</w:t>
            </w:r>
            <w:r>
              <w:t>.</w:t>
            </w:r>
          </w:p>
          <w:p w:rsidR="00EC083C" w:rsidRDefault="00EC083C" w:rsidP="00EC08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Si la falla es de software se debe coordinar el traslado del equipo de cómputo e impresión a la Oficina </w:t>
            </w:r>
            <w:r>
              <w:t>de sistemas</w:t>
            </w:r>
            <w:r>
              <w:t xml:space="preserve"> para realizar las labores de reparación necesarias.</w:t>
            </w:r>
          </w:p>
          <w:p w:rsidR="00EC083C" w:rsidRDefault="00EC083C" w:rsidP="00EC08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Si la falla es de hardware se debe tener en cuenta si el equipo afectado está cubierto por </w:t>
            </w:r>
            <w:r>
              <w:lastRenderedPageBreak/>
              <w:t>garantía en cuyo caso se realizará el escalamiento al proveedor, se tomarán los datos requeridos del elemento y se informará al proveedor vía telefónica o a través de correo electrónico y se informará al usuario vía telefónica</w:t>
            </w:r>
            <w:r>
              <w:t xml:space="preserve"> o</w:t>
            </w:r>
            <w:r>
              <w:t xml:space="preserve"> por </w:t>
            </w:r>
            <w:r>
              <w:t>correo electrónico</w:t>
            </w:r>
          </w:p>
          <w:p w:rsidR="00EC083C" w:rsidRDefault="00EC083C" w:rsidP="00EC083C">
            <w:pPr>
              <w:jc w:val="both"/>
            </w:pPr>
          </w:p>
        </w:tc>
        <w:tc>
          <w:tcPr>
            <w:tcW w:w="2029" w:type="dxa"/>
          </w:tcPr>
          <w:p w:rsidR="00285570" w:rsidRDefault="00EC083C" w:rsidP="00285570">
            <w:pPr>
              <w:jc w:val="both"/>
            </w:pPr>
            <w:r>
              <w:lastRenderedPageBreak/>
              <w:t>Personal del Grupo de Soporte Tecnológico y personal de la Oficina de Tecnologías de la Información.</w:t>
            </w:r>
          </w:p>
        </w:tc>
      </w:tr>
    </w:tbl>
    <w:p w:rsidR="00285570" w:rsidRDefault="00285570" w:rsidP="00285570">
      <w:pPr>
        <w:jc w:val="both"/>
      </w:pPr>
    </w:p>
    <w:p w:rsidR="00285570" w:rsidRPr="00EC083C" w:rsidRDefault="00285570" w:rsidP="00285570">
      <w:pPr>
        <w:jc w:val="both"/>
        <w:rPr>
          <w:b/>
        </w:rPr>
      </w:pPr>
      <w:bookmarkStart w:id="0" w:name="_GoBack"/>
      <w:r w:rsidRPr="00EC083C">
        <w:rPr>
          <w:b/>
        </w:rPr>
        <w:t>TIEMPO MÁXIMO DEL PROCEDIMIENTO</w:t>
      </w:r>
    </w:p>
    <w:bookmarkEnd w:id="0"/>
    <w:p w:rsidR="00285570" w:rsidRDefault="00285570" w:rsidP="00285570">
      <w:pPr>
        <w:jc w:val="both"/>
      </w:pPr>
      <w:r>
        <w:t xml:space="preserve">Son </w:t>
      </w:r>
      <w:r>
        <w:t>24 horas hábiles, cuando el servicio sea por formateo del equipo. Diez (</w:t>
      </w:r>
      <w:r>
        <w:t>1</w:t>
      </w:r>
      <w:r>
        <w:t xml:space="preserve">0) días hábiles, por garantía. Veinte (20) días hábiles por cambio de partes. En todos los casos contados a partir de la verificación del servicio. 30 días hábiles cuando se debe cambiar partes del equipo. Nota: En los casos de solicitudes de Soporte Técnico en hardware y software, que provienen de los </w:t>
      </w:r>
      <w:proofErr w:type="spellStart"/>
      <w:r>
        <w:t>GTTs</w:t>
      </w:r>
      <w:proofErr w:type="spellEnd"/>
      <w:r>
        <w:t xml:space="preserve"> y/o Sedes Alternas, el tiempo de respuesta está sujeto al cronograma de comisiones y/o viajes y a los días estimados para las visitas en el caso de las Sedes Alternas. En los casos de solicitudes de Soporte Técnico en hardware y software, que provienen de la Oficina de Atención al Ciudadano, GTT’S, Pasos Fronterizos, Puerto y Aeropuertos se les dará una prioridad mayor a los casos antes expuestos</w:t>
      </w:r>
    </w:p>
    <w:sectPr w:rsidR="00285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C1517"/>
    <w:multiLevelType w:val="hybridMultilevel"/>
    <w:tmpl w:val="9FFE45EE"/>
    <w:lvl w:ilvl="0" w:tplc="7CEAB7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8B"/>
    <w:rsid w:val="00135DEB"/>
    <w:rsid w:val="00190133"/>
    <w:rsid w:val="00285570"/>
    <w:rsid w:val="00833B8B"/>
    <w:rsid w:val="00A12CD1"/>
    <w:rsid w:val="00B65F58"/>
    <w:rsid w:val="00B91496"/>
    <w:rsid w:val="00D33BF2"/>
    <w:rsid w:val="00E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4569"/>
  <w15:chartTrackingRefBased/>
  <w15:docId w15:val="{32E62781-A07C-405B-9E01-A8BB1901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B8B"/>
    <w:rPr>
      <w:rFonts w:ascii="Arial" w:hAnsi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7882-65F0-4078-BA7E-EE92ADCF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Paola Rojas Pineda</dc:creator>
  <cp:keywords/>
  <dc:description/>
  <cp:lastModifiedBy>Juliana Paola Rojas Pineda</cp:lastModifiedBy>
  <cp:revision>2</cp:revision>
  <dcterms:created xsi:type="dcterms:W3CDTF">2017-11-27T14:47:00Z</dcterms:created>
  <dcterms:modified xsi:type="dcterms:W3CDTF">2017-11-27T15:32:00Z</dcterms:modified>
</cp:coreProperties>
</file>